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594BFF">
        <w:rPr>
          <w:b/>
          <w:bCs/>
          <w:sz w:val="30"/>
          <w:szCs w:val="30"/>
        </w:rPr>
        <w:t>2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 SR.ª MARIA HELENA GONTIJO SOUZA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732A9B" w:rsidP="00C00782">
      <w:pPr>
        <w:jc w:val="center"/>
        <w:rPr>
          <w:b/>
          <w:bCs/>
        </w:rPr>
      </w:pPr>
      <w:r w:rsidRPr="00C00782">
        <w:rPr>
          <w:b/>
          <w:bCs/>
        </w:rPr>
        <w:t>Sr.ª Maria Helena Gontijo Souza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94BFF"/>
    <w:rsid w:val="00596CE3"/>
    <w:rsid w:val="005B027D"/>
    <w:rsid w:val="00601A8E"/>
    <w:rsid w:val="00605A8E"/>
    <w:rsid w:val="00656B13"/>
    <w:rsid w:val="0067277C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2010-12-03T16:42:00Z</dcterms:created>
  <dcterms:modified xsi:type="dcterms:W3CDTF">2010-12-03T18:29:00Z</dcterms:modified>
</cp:coreProperties>
</file>